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1795AB8"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D32D1">
        <w:rPr>
          <w:rFonts w:ascii="Arial" w:hAnsi="Arial" w:cs="Arial"/>
          <w:b/>
          <w:bCs/>
          <w:sz w:val="24"/>
          <w:szCs w:val="24"/>
        </w:rPr>
        <w:t>2</w:t>
      </w:r>
      <w:r>
        <w:tab/>
      </w:r>
      <w:r w:rsidR="008118AD" w:rsidRPr="008118AD">
        <w:rPr>
          <w:rFonts w:ascii="Arial" w:hAnsi="Arial" w:cs="Arial"/>
          <w:b/>
          <w:bCs/>
          <w:sz w:val="24"/>
          <w:szCs w:val="24"/>
        </w:rPr>
        <w:t>S2-</w:t>
      </w:r>
      <w:r w:rsidR="008118AD" w:rsidRPr="38FF1C40">
        <w:rPr>
          <w:rFonts w:ascii="Arial" w:hAnsi="Arial" w:cs="Arial"/>
          <w:b/>
          <w:bCs/>
          <w:sz w:val="24"/>
          <w:szCs w:val="24"/>
        </w:rPr>
        <w:t>240</w:t>
      </w:r>
      <w:r w:rsidR="00E86EFD">
        <w:rPr>
          <w:rFonts w:ascii="Arial" w:hAnsi="Arial" w:cs="Arial"/>
          <w:b/>
          <w:bCs/>
          <w:sz w:val="24"/>
          <w:szCs w:val="24"/>
        </w:rPr>
        <w:t>5514</w:t>
      </w:r>
    </w:p>
    <w:p w14:paraId="091FE08C" w14:textId="60AD9A46" w:rsidR="005D4E7D" w:rsidRDefault="001D175C" w:rsidP="005D4E7D">
      <w:pPr>
        <w:pBdr>
          <w:bottom w:val="single" w:sz="6" w:space="0" w:color="auto"/>
        </w:pBdr>
        <w:tabs>
          <w:tab w:val="right" w:pos="9638"/>
        </w:tabs>
        <w:rPr>
          <w:rFonts w:ascii="Arial" w:hAnsi="Arial" w:cs="Arial"/>
          <w:b/>
          <w:color w:val="0000FF"/>
        </w:rPr>
      </w:pPr>
      <w:r>
        <w:rPr>
          <w:rFonts w:ascii="Arial" w:hAnsi="Arial" w:cs="Arial"/>
          <w:b/>
          <w:bCs/>
          <w:sz w:val="24"/>
          <w:szCs w:val="24"/>
        </w:rPr>
        <w:t>Changsha</w:t>
      </w:r>
      <w:r w:rsidR="00810B15">
        <w:rPr>
          <w:rFonts w:ascii="Arial" w:hAnsi="Arial" w:cs="Arial"/>
          <w:b/>
          <w:bCs/>
          <w:sz w:val="24"/>
          <w:szCs w:val="24"/>
        </w:rPr>
        <w:t xml:space="preserve">, </w:t>
      </w:r>
      <w:r>
        <w:rPr>
          <w:rFonts w:ascii="Arial" w:hAnsi="Arial" w:cs="Arial"/>
          <w:b/>
          <w:bCs/>
          <w:sz w:val="24"/>
          <w:szCs w:val="24"/>
        </w:rPr>
        <w:t>China</w:t>
      </w:r>
      <w:r w:rsidR="00810B15" w:rsidRPr="38FF1C40">
        <w:rPr>
          <w:rFonts w:ascii="Arial" w:hAnsi="Arial" w:cs="Arial"/>
          <w:b/>
          <w:sz w:val="24"/>
          <w:szCs w:val="24"/>
        </w:rPr>
        <w:t xml:space="preserve">, </w:t>
      </w:r>
      <w:r>
        <w:rPr>
          <w:rFonts w:ascii="Arial" w:hAnsi="Arial" w:cs="Arial"/>
          <w:b/>
          <w:bCs/>
          <w:sz w:val="24"/>
          <w:szCs w:val="24"/>
        </w:rPr>
        <w:t>15</w:t>
      </w:r>
      <w:r w:rsidR="00575E11">
        <w:rPr>
          <w:rFonts w:ascii="Arial" w:hAnsi="Arial" w:cs="Arial"/>
          <w:b/>
          <w:bCs/>
          <w:sz w:val="24"/>
          <w:szCs w:val="24"/>
        </w:rPr>
        <w:t xml:space="preserve"> </w:t>
      </w:r>
      <w:r w:rsidR="00DE4738">
        <w:rPr>
          <w:rFonts w:ascii="Arial" w:hAnsi="Arial" w:cs="Arial"/>
          <w:b/>
          <w:bCs/>
          <w:sz w:val="24"/>
          <w:szCs w:val="24"/>
        </w:rPr>
        <w:t xml:space="preserve">– 19 </w:t>
      </w:r>
      <w:r>
        <w:rPr>
          <w:rFonts w:ascii="Arial" w:hAnsi="Arial" w:cs="Arial"/>
          <w:b/>
          <w:bCs/>
          <w:sz w:val="24"/>
          <w:szCs w:val="24"/>
        </w:rPr>
        <w:t>April</w:t>
      </w:r>
      <w:r w:rsidR="005D4E7D" w:rsidRPr="00E9522F">
        <w:rPr>
          <w:rFonts w:ascii="Arial" w:hAnsi="Arial" w:cs="Arial"/>
          <w:b/>
          <w:bCs/>
          <w:sz w:val="24"/>
          <w:szCs w:val="24"/>
        </w:rPr>
        <w:t>, 202</w:t>
      </w:r>
      <w:r w:rsidR="00846658">
        <w:rPr>
          <w:rFonts w:ascii="Arial" w:hAnsi="Arial" w:cs="Arial"/>
          <w:b/>
          <w:bCs/>
          <w:sz w:val="24"/>
          <w:szCs w:val="24"/>
        </w:rPr>
        <w:t>4</w:t>
      </w:r>
      <w:r w:rsidR="005D4E7D">
        <w:tab/>
      </w:r>
      <w:r w:rsidR="00E86EFD" w:rsidRPr="00E86EFD">
        <w:rPr>
          <w:rFonts w:ascii="Arial" w:hAnsi="Arial" w:cs="Arial"/>
          <w:b/>
          <w:bCs/>
          <w:color w:val="0000FF"/>
        </w:rPr>
        <w:t>(revision of S2-24</w:t>
      </w:r>
      <w:r w:rsidR="00E86EFD" w:rsidRPr="00E86EFD">
        <w:rPr>
          <w:rFonts w:ascii="Arial" w:hAnsi="Arial" w:cs="Arial"/>
          <w:b/>
          <w:bCs/>
          <w:color w:val="0000FF"/>
        </w:rPr>
        <w:t>3979</w:t>
      </w:r>
      <w:r w:rsidR="00E86EFD" w:rsidRPr="00E86EFD">
        <w:rPr>
          <w:rFonts w:ascii="Arial" w:hAnsi="Arial" w:cs="Arial"/>
          <w:b/>
          <w:bCs/>
          <w:color w:val="0000FF"/>
        </w:rPr>
        <w:t>)</w:t>
      </w:r>
    </w:p>
    <w:p w14:paraId="26F5FD54" w14:textId="52BDD9D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 xml:space="preserve">Nokia, </w:t>
      </w:r>
      <w:r w:rsidR="00FB1A88">
        <w:rPr>
          <w:rFonts w:ascii="Arial" w:hAnsi="Arial" w:cs="Arial"/>
          <w:b/>
        </w:rPr>
        <w:t>NEC</w:t>
      </w:r>
      <w:r w:rsidR="00FE1096">
        <w:rPr>
          <w:rFonts w:ascii="Arial" w:hAnsi="Arial" w:cs="Arial"/>
          <w:b/>
        </w:rPr>
        <w:t>, Samsung</w:t>
      </w:r>
    </w:p>
    <w:p w14:paraId="46044845" w14:textId="3D690186"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 xml:space="preserve">cell using </w:t>
      </w:r>
      <w:r w:rsidR="00DF61A9" w:rsidRPr="38FF1C40">
        <w:rPr>
          <w:rFonts w:ascii="Arial" w:hAnsi="Arial" w:cs="Arial"/>
          <w:b/>
          <w:bCs/>
        </w:rPr>
        <w:t>mapped</w:t>
      </w:r>
      <w:r w:rsidR="00504364">
        <w:rPr>
          <w:rFonts w:ascii="Arial" w:hAnsi="Arial" w:cs="Arial"/>
          <w:b/>
          <w:bCs/>
        </w:rPr>
        <w:t xml:space="preserve"> CAG/CSG ID</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3EF3BBAE"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3" w:author="Nokia-TC" w:date="2024-04-03T18:26:00Z">
              <w:r>
                <w:t xml:space="preserve">#X </w:t>
              </w:r>
            </w:ins>
          </w:p>
        </w:tc>
        <w:tc>
          <w:tcPr>
            <w:tcW w:w="1459" w:type="dxa"/>
          </w:tcPr>
          <w:p w14:paraId="470F1858" w14:textId="4D9D6BD9" w:rsidR="00575E11" w:rsidRPr="00822E86" w:rsidRDefault="00575E11" w:rsidP="002A7C75">
            <w:pPr>
              <w:pStyle w:val="TAC"/>
            </w:pPr>
            <w:ins w:id="24" w:author="Nokia-TC" w:date="2024-02-08T11:13:00Z">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45BD06D9" w:rsidR="000E5F76" w:rsidRPr="000E5F76" w:rsidRDefault="0085262D" w:rsidP="000E5F76">
      <w:pPr>
        <w:pStyle w:val="Heading2"/>
        <w:rPr>
          <w:rFonts w:eastAsia="DengXian"/>
          <w:lang w:val="en-US"/>
        </w:rPr>
      </w:pPr>
      <w:bookmarkStart w:id="25" w:name="_Toc500949097"/>
      <w:bookmarkStart w:id="26" w:name="_Toc92875660"/>
      <w:bookmarkStart w:id="27" w:name="_Toc93070684"/>
      <w:bookmarkStart w:id="28" w:name="_Toc148498832"/>
      <w:bookmarkEnd w:id="1"/>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5"/>
      <w:bookmarkEnd w:id="26"/>
      <w:bookmarkEnd w:id="27"/>
      <w:bookmarkEnd w:id="28"/>
      <w:r w:rsidR="00575E11">
        <w:rPr>
          <w:rFonts w:eastAsia="DengXian"/>
        </w:rPr>
        <w:t>H</w:t>
      </w:r>
      <w:r w:rsidR="00575E11" w:rsidRPr="00575E11">
        <w:rPr>
          <w:rFonts w:eastAsia="DengXian"/>
        </w:rPr>
        <w:t>andover from/to CSG cell to/from CAG cell</w:t>
      </w:r>
      <w:r w:rsidR="00504364">
        <w:rPr>
          <w:rFonts w:eastAsia="DengXian"/>
        </w:rPr>
        <w:t xml:space="preserve"> using </w:t>
      </w:r>
      <w:r w:rsidR="00DF61A9" w:rsidRPr="38FF1C40">
        <w:rPr>
          <w:rFonts w:eastAsia="DengXian"/>
        </w:rPr>
        <w:t>mapped</w:t>
      </w:r>
      <w:r w:rsidR="00504364">
        <w:rPr>
          <w:rFonts w:eastAsia="DengXian"/>
        </w:rPr>
        <w:t xml:space="preserve"> CAG/CSG ID</w:t>
      </w:r>
    </w:p>
    <w:p w14:paraId="070B4D92" w14:textId="37BD08B2" w:rsidR="0085262D" w:rsidRDefault="6BD4E19A" w:rsidP="6FEEFC65">
      <w:pPr>
        <w:pStyle w:val="Heading3"/>
        <w:jc w:val="both"/>
        <w:rPr>
          <w:rFonts w:eastAsia="DengXian"/>
        </w:rPr>
      </w:pPr>
      <w:bookmarkStart w:id="29" w:name="_Toc500949099"/>
      <w:bookmarkStart w:id="30" w:name="_Toc92875662"/>
      <w:bookmarkStart w:id="31" w:name="_Toc93070686"/>
      <w:bookmarkStart w:id="32" w:name="_Toc148498834"/>
      <w:r w:rsidRPr="6FEEFC65">
        <w:rPr>
          <w:rFonts w:eastAsia="DengXian"/>
        </w:rPr>
        <w:t>6.X.</w:t>
      </w:r>
      <w:r w:rsidR="00575E11">
        <w:rPr>
          <w:rFonts w:eastAsia="DengXian"/>
        </w:rPr>
        <w:t>1</w:t>
      </w:r>
      <w:r w:rsidR="0085262D">
        <w:tab/>
      </w:r>
      <w:r w:rsidRPr="6FEEFC65">
        <w:rPr>
          <w:rFonts w:eastAsia="DengXian"/>
        </w:rPr>
        <w:t>Description</w:t>
      </w:r>
      <w:bookmarkEnd w:id="29"/>
      <w:bookmarkEnd w:id="30"/>
      <w:bookmarkEnd w:id="31"/>
      <w:bookmarkEnd w:id="32"/>
    </w:p>
    <w:p w14:paraId="12B323CB" w14:textId="6323966A" w:rsidR="0024710B" w:rsidRDefault="0024710B" w:rsidP="0024710B">
      <w:r>
        <w:t xml:space="preserve">In LTE Femto, Closed Subscriber Group (CSG) identifies a group of subscribers who are permitted/allowed to access one or more CSG cells of the PLMN identified by CSG ID(s). A CSG cell is a cell broadcasting one or several CSG IDs. </w:t>
      </w:r>
      <w:r w:rsidR="00F86690">
        <w:t xml:space="preserve">The </w:t>
      </w:r>
      <w:r>
        <w:t xml:space="preserve">CSG membership of </w:t>
      </w:r>
      <w:r w:rsidR="00F86690">
        <w:t xml:space="preserve">a </w:t>
      </w:r>
      <w:r>
        <w:t xml:space="preserve">UE is configured in the user subscription data and on the UE. If a UE tries to connect to a CSG cell the </w:t>
      </w:r>
      <w:r w:rsidR="00BD4774">
        <w:t xml:space="preserve">network </w:t>
      </w:r>
      <w:r>
        <w:t>(MME) checks whether the UE is allowed to do so considering the subscription data.</w:t>
      </w:r>
    </w:p>
    <w:p w14:paraId="7D70DA57" w14:textId="18B13079" w:rsidR="0024710B" w:rsidRDefault="0024710B" w:rsidP="0024710B">
      <w:r>
        <w:t xml:space="preserve">In 5G, a Closed Access Group (CAG) identifies a group of subscribers who are permitted/allowed to access one or more CAG cells associated to the CAG ID. A CAG cell is a cell broadcasting one or several CAG IDs. The CAG concept is like the CSG concept in </w:t>
      </w:r>
      <w:r w:rsidR="00DF61A9">
        <w:t>EPS</w:t>
      </w:r>
      <w:r w:rsidR="00F86690">
        <w:t xml:space="preserve"> </w:t>
      </w:r>
      <w:r>
        <w:t xml:space="preserve">but was originally introduced in the context of PNI-NPNs to prevent UE(s), which are not allowed to access the NPN via the associated cell(s), from automatically selecting and accessing the associated CAG cell(s). </w:t>
      </w:r>
      <w:r w:rsidR="00F86690">
        <w:t xml:space="preserve">The </w:t>
      </w:r>
      <w:r>
        <w:t xml:space="preserve">CAG based access control was introduced in 3GPP Release-16. </w:t>
      </w:r>
    </w:p>
    <w:p w14:paraId="2D9E88F5" w14:textId="756EE1DB" w:rsidR="0024710B" w:rsidRDefault="00EB4FEF" w:rsidP="0024710B">
      <w:r>
        <w:t xml:space="preserve">As </w:t>
      </w:r>
      <w:r w:rsidR="00DF61A9">
        <w:t xml:space="preserve">a </w:t>
      </w:r>
      <w:r>
        <w:t>part of KI#1, it is noted that</w:t>
      </w:r>
      <w:r w:rsidRPr="00EB4FEF">
        <w:t xml:space="preserve"> </w:t>
      </w:r>
      <w:r>
        <w:t>t</w:t>
      </w:r>
      <w:r w:rsidRPr="00EB4FEF">
        <w:t xml:space="preserve">he mobility scenarios for </w:t>
      </w:r>
      <w:r w:rsidR="00F86690">
        <w:t>a</w:t>
      </w:r>
      <w:r w:rsidRPr="00EB4FEF">
        <w:t xml:space="preserve"> UE </w:t>
      </w:r>
      <w:r>
        <w:t>(</w:t>
      </w:r>
      <w:r w:rsidR="00DF61A9">
        <w:rPr>
          <w:lang w:eastAsia="zh-CN"/>
        </w:rPr>
        <w:t>i. e.,</w:t>
      </w:r>
      <w:r>
        <w:rPr>
          <w:lang w:eastAsia="zh-CN"/>
        </w:rPr>
        <w:t xml:space="preserve"> </w:t>
      </w:r>
      <w:r w:rsidR="00DF61A9">
        <w:rPr>
          <w:lang w:eastAsia="zh-CN"/>
        </w:rPr>
        <w:t xml:space="preserve">moving from/to a </w:t>
      </w:r>
      <w:r>
        <w:rPr>
          <w:lang w:eastAsia="zh-CN"/>
        </w:rPr>
        <w:t>CSG cell</w:t>
      </w:r>
      <w:r w:rsidR="00DF61A9">
        <w:rPr>
          <w:lang w:eastAsia="zh-CN"/>
        </w:rPr>
        <w:t xml:space="preserve"> of HeNB</w:t>
      </w:r>
      <w:r>
        <w:rPr>
          <w:lang w:eastAsia="zh-CN"/>
        </w:rPr>
        <w:t xml:space="preserve"> to</w:t>
      </w:r>
      <w:r w:rsidR="00DF61A9">
        <w:rPr>
          <w:lang w:eastAsia="zh-CN"/>
        </w:rPr>
        <w:t>/from</w:t>
      </w:r>
      <w:r>
        <w:rPr>
          <w:lang w:eastAsia="zh-CN"/>
        </w:rPr>
        <w:t xml:space="preserve"> </w:t>
      </w:r>
      <w:r w:rsidR="00DF61A9">
        <w:rPr>
          <w:lang w:eastAsia="zh-CN"/>
        </w:rPr>
        <w:t xml:space="preserve">a </w:t>
      </w:r>
      <w:r>
        <w:rPr>
          <w:lang w:eastAsia="zh-CN"/>
        </w:rPr>
        <w:t xml:space="preserve">CAG cell </w:t>
      </w:r>
      <w:r w:rsidRPr="00D81CF1">
        <w:rPr>
          <w:lang w:eastAsia="zh-CN"/>
        </w:rPr>
        <w:t>of 5G Femto</w:t>
      </w:r>
      <w:r>
        <w:t>) are going to be studied. Th</w:t>
      </w:r>
      <w:r w:rsidR="00DF61A9">
        <w:t>ese</w:t>
      </w:r>
      <w:r>
        <w:t xml:space="preserve"> mobility scenario</w:t>
      </w:r>
      <w:r w:rsidR="00DF61A9">
        <w:t>s</w:t>
      </w:r>
      <w:r>
        <w:t xml:space="preserve"> would be valid </w:t>
      </w:r>
      <w:r w:rsidR="0024710B">
        <w:t xml:space="preserve">as </w:t>
      </w:r>
      <w:r w:rsidR="00BD4774">
        <w:t>the deployment of 5G Femto may start on top of an existing LTE Femto deployment such as in</w:t>
      </w:r>
      <w:r w:rsidR="0024710B">
        <w:t xml:space="preserve"> an Enterprise deployment. </w:t>
      </w:r>
    </w:p>
    <w:p w14:paraId="0C1E393C" w14:textId="44195CDE" w:rsidR="00BD4774" w:rsidRDefault="0024710B" w:rsidP="0024710B">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w:t>
      </w:r>
      <w:r w:rsidR="00F86690">
        <w:t xml:space="preserve">the </w:t>
      </w:r>
      <w:r>
        <w:t xml:space="preserve">CAG concept as defined for PNI-NPN is re-used for 5G Femto deployments. </w:t>
      </w:r>
      <w:r w:rsidR="00BD4774">
        <w:t>This solution proposes:</w:t>
      </w:r>
    </w:p>
    <w:p w14:paraId="77949F73" w14:textId="19AC9B23" w:rsidR="00BD4774" w:rsidRDefault="00BD4774" w:rsidP="002A7C75">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w:t>
      </w:r>
      <w:r w:rsidR="00890B6F">
        <w:rPr>
          <w:rFonts w:eastAsiaTheme="minorEastAsia"/>
          <w:sz w:val="20"/>
          <w:szCs w:val="20"/>
          <w:lang w:val="en-GB" w:eastAsia="en-US"/>
        </w:rPr>
        <w:t xml:space="preserve">the </w:t>
      </w:r>
      <w:r w:rsidR="00FF0AC6">
        <w:rPr>
          <w:rFonts w:eastAsiaTheme="minorEastAsia"/>
          <w:sz w:val="20"/>
          <w:szCs w:val="20"/>
          <w:lang w:val="en-GB" w:eastAsia="en-US"/>
        </w:rPr>
        <w:t xml:space="preserve">source side </w:t>
      </w:r>
      <w:r w:rsidRPr="00BD4774">
        <w:rPr>
          <w:rFonts w:eastAsiaTheme="minorEastAsia"/>
          <w:sz w:val="20"/>
          <w:szCs w:val="20"/>
          <w:lang w:val="en-GB" w:eastAsia="en-US"/>
        </w:rPr>
        <w:t xml:space="preserve">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ID (for the mobility from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cell to </w:t>
      </w:r>
      <w:r w:rsidR="00890B6F">
        <w:rPr>
          <w:rFonts w:eastAsiaTheme="minorEastAsia"/>
          <w:sz w:val="20"/>
          <w:szCs w:val="20"/>
          <w:lang w:val="en-GB" w:eastAsia="en-US"/>
        </w:rPr>
        <w:t xml:space="preserve">a </w:t>
      </w:r>
      <w:r w:rsidR="00EB4FEF" w:rsidRP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CAG ID (for the mobility from </w:t>
      </w:r>
      <w:r w:rsidR="00890B6F">
        <w:rPr>
          <w:rFonts w:eastAsiaTheme="minorEastAsia"/>
          <w:sz w:val="20"/>
          <w:szCs w:val="20"/>
          <w:lang w:val="en-GB" w:eastAsia="en-US"/>
        </w:rPr>
        <w:t xml:space="preserve">a </w:t>
      </w:r>
      <w:r w:rsidR="00EB4FEF" w:rsidRPr="00EB4FEF">
        <w:rPr>
          <w:rFonts w:eastAsiaTheme="minorEastAsia"/>
          <w:sz w:val="20"/>
          <w:szCs w:val="20"/>
          <w:lang w:val="en-GB" w:eastAsia="en-US"/>
        </w:rPr>
        <w:t xml:space="preserve">CAG cell of 5G Femto </w:t>
      </w:r>
      <w:r w:rsidRPr="00BD4774">
        <w:rPr>
          <w:rFonts w:eastAsiaTheme="minorEastAsia"/>
          <w:sz w:val="20"/>
          <w:szCs w:val="20"/>
          <w:lang w:val="en-GB" w:eastAsia="en-US"/>
        </w:rPr>
        <w:t xml:space="preserve">to </w:t>
      </w:r>
      <w:r w:rsidR="00890B6F">
        <w:rPr>
          <w:rFonts w:eastAsiaTheme="minorEastAsia"/>
          <w:sz w:val="20"/>
          <w:szCs w:val="20"/>
          <w:lang w:val="en-GB" w:eastAsia="en-US"/>
        </w:rPr>
        <w:t xml:space="preserve">a </w:t>
      </w:r>
      <w:r w:rsidRPr="00BD4774">
        <w:rPr>
          <w:rFonts w:eastAsiaTheme="minorEastAsia"/>
          <w:sz w:val="20"/>
          <w:szCs w:val="20"/>
          <w:lang w:val="en-GB" w:eastAsia="en-US"/>
        </w:rPr>
        <w:t>CSG cell)</w:t>
      </w:r>
      <w:r w:rsidR="000A6DB5">
        <w:rPr>
          <w:rFonts w:eastAsiaTheme="minorEastAsia"/>
          <w:sz w:val="20"/>
          <w:szCs w:val="20"/>
          <w:lang w:val="en-GB" w:eastAsia="en-US"/>
        </w:rPr>
        <w:t>; and</w:t>
      </w:r>
    </w:p>
    <w:p w14:paraId="2A7FF79C" w14:textId="7F544A61" w:rsidR="00BD4774" w:rsidRDefault="000A6DB5" w:rsidP="002A7C75">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w:t>
      </w:r>
      <w:r w:rsidR="00BD4774" w:rsidRPr="00BD4774" w:rsidDel="00890B6F">
        <w:rPr>
          <w:rFonts w:eastAsiaTheme="minorEastAsia"/>
          <w:sz w:val="20"/>
          <w:szCs w:val="20"/>
          <w:lang w:val="en-GB" w:eastAsia="en-US"/>
        </w:rPr>
        <w:t xml:space="preserve"> </w:t>
      </w:r>
      <w:r w:rsidR="00890B6F">
        <w:rPr>
          <w:rFonts w:eastAsiaTheme="minorEastAsia"/>
          <w:sz w:val="20"/>
          <w:szCs w:val="20"/>
          <w:lang w:val="en-GB" w:eastAsia="en-US"/>
        </w:rPr>
        <w:t>support</w:t>
      </w:r>
      <w:r w:rsidR="00890B6F" w:rsidRPr="00BD4774">
        <w:rPr>
          <w:rFonts w:eastAsiaTheme="minorEastAsia"/>
          <w:sz w:val="20"/>
          <w:szCs w:val="20"/>
          <w:lang w:val="en-GB" w:eastAsia="en-US"/>
        </w:rPr>
        <w:t xml:space="preserve"> </w:t>
      </w:r>
      <w:r w:rsidR="00BD4774" w:rsidRPr="00BD4774">
        <w:rPr>
          <w:rFonts w:eastAsiaTheme="minorEastAsia"/>
          <w:sz w:val="20"/>
          <w:szCs w:val="20"/>
          <w:lang w:val="en-GB" w:eastAsia="en-US"/>
        </w:rPr>
        <w:t>access control for the moving UE at the source cell in order to mitigate any unnecessary signalling that may happen if the UE is not allowed to access the target CSG or CAG cell.</w:t>
      </w:r>
    </w:p>
    <w:p w14:paraId="3B6173FC" w14:textId="77777777" w:rsidR="000A6DB5" w:rsidRDefault="000A6DB5" w:rsidP="000A6DB5"/>
    <w:p w14:paraId="6014F6BF" w14:textId="309E8034" w:rsidR="000A6DB5" w:rsidRPr="000A6DB5" w:rsidRDefault="000A6DB5" w:rsidP="000A6DB5">
      <w:r>
        <w:t xml:space="preserve">The benefit of the proposed solution is that it enables to </w:t>
      </w:r>
      <w:r w:rsidR="00890B6F">
        <w:t xml:space="preserve">support </w:t>
      </w:r>
      <w:r w:rsidR="00132790">
        <w:t xml:space="preserve">the mobility from/to </w:t>
      </w:r>
      <w:r>
        <w:t xml:space="preserve">LTE Femto CSG cells in a system which already supports CAG access control (due to NPN or access to 5G Femto cells) without any further impacts than provisioning of a dedicated partition of CAG IDs. More specifically, the 5G source system is </w:t>
      </w:r>
      <w:r w:rsidR="00294201">
        <w:t xml:space="preserve">required </w:t>
      </w:r>
      <w:r>
        <w:t xml:space="preserve">to reserve CAG IDs with the </w:t>
      </w:r>
      <w:r w:rsidR="00294201">
        <w:t xml:space="preserve">leftmost </w:t>
      </w:r>
      <w:r>
        <w:t xml:space="preserve">five </w:t>
      </w:r>
      <w:r w:rsidR="00294201">
        <w:t xml:space="preserve">bits set to </w:t>
      </w:r>
      <w:r>
        <w:t>zeros</w:t>
      </w:r>
      <w:r w:rsidR="00294201">
        <w:t>,</w:t>
      </w:r>
      <w:r>
        <w:t xml:space="preserve"> for </w:t>
      </w:r>
      <w:r w:rsidR="00294201">
        <w:t>supporting mobility from/to a CSG cell</w:t>
      </w:r>
      <w:r>
        <w:t>.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ins w:id="33" w:author="Nokia-TC" w:date="2024-04-18T08:37:00Z">
        <w:r w:rsidR="00237FE1">
          <w:t xml:space="preserve"> </w:t>
        </w:r>
      </w:ins>
      <w:ins w:id="34" w:author="Nokia-TC" w:date="2024-04-18T08:38:00Z">
        <w:r w:rsidR="00237FE1">
          <w:t>Accordingly, this requires the operator to reserve the partitio</w:t>
        </w:r>
      </w:ins>
      <w:ins w:id="35" w:author="Nokia-TC" w:date="2024-04-18T08:39:00Z">
        <w:r w:rsidR="00237FE1">
          <w:t xml:space="preserve">n of CAG IDs and not use it </w:t>
        </w:r>
      </w:ins>
      <w:ins w:id="36" w:author="Nokia-TC" w:date="2024-04-18T08:40:00Z">
        <w:r w:rsidR="00237FE1">
          <w:t xml:space="preserve">other than for </w:t>
        </w:r>
        <w:r w:rsidR="00237FE1" w:rsidRPr="00237FE1">
          <w:t>support</w:t>
        </w:r>
        <w:r w:rsidR="00237FE1">
          <w:t>ing</w:t>
        </w:r>
        <w:r w:rsidR="00237FE1" w:rsidRPr="00237FE1">
          <w:t xml:space="preserve"> mobility from/to a CSG cell</w:t>
        </w:r>
      </w:ins>
      <w:ins w:id="37" w:author="Nokia-TC" w:date="2024-04-18T08:39:00Z">
        <w:r w:rsidR="00237FE1">
          <w:t>.</w:t>
        </w:r>
      </w:ins>
    </w:p>
    <w:p w14:paraId="413E57AD" w14:textId="32AD2DF1" w:rsidR="0085262D" w:rsidRPr="00822E86" w:rsidRDefault="6BD4E19A" w:rsidP="0085262D">
      <w:pPr>
        <w:pStyle w:val="Heading3"/>
        <w:rPr>
          <w:rFonts w:eastAsia="DengXian"/>
        </w:rPr>
      </w:pPr>
      <w:bookmarkStart w:id="38" w:name="_Toc500949101"/>
      <w:bookmarkStart w:id="39" w:name="_Toc92875663"/>
      <w:bookmarkStart w:id="40" w:name="_Toc93070687"/>
      <w:bookmarkStart w:id="41" w:name="_Toc148498835"/>
      <w:r w:rsidRPr="6FEEFC65">
        <w:rPr>
          <w:rFonts w:eastAsia="DengXian"/>
        </w:rPr>
        <w:t>6.X.</w:t>
      </w:r>
      <w:r w:rsidR="00575E11">
        <w:rPr>
          <w:rFonts w:eastAsia="DengXian"/>
        </w:rPr>
        <w:t>2</w:t>
      </w:r>
      <w:r w:rsidR="0085262D">
        <w:tab/>
      </w:r>
      <w:r w:rsidRPr="6FEEFC65">
        <w:rPr>
          <w:rFonts w:eastAsia="DengXian"/>
        </w:rPr>
        <w:t>Procedures</w:t>
      </w:r>
      <w:bookmarkEnd w:id="38"/>
      <w:bookmarkEnd w:id="39"/>
      <w:bookmarkEnd w:id="40"/>
      <w:bookmarkEnd w:id="41"/>
    </w:p>
    <w:p w14:paraId="7364C8CE" w14:textId="77777777" w:rsidR="0024710B" w:rsidRDefault="0024710B" w:rsidP="0024710B">
      <w:pPr>
        <w:pStyle w:val="EditorsNote"/>
        <w:ind w:left="0" w:firstLine="0"/>
        <w:rPr>
          <w:ins w:id="42" w:author="Nokia-TC" w:date="2024-04-18T08:35:00Z"/>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1F01D190" w14:textId="1C10B90B" w:rsidR="00FB6A54" w:rsidRPr="00FB6A54" w:rsidRDefault="00FB6A54" w:rsidP="00FB6A54">
      <w:pPr>
        <w:pStyle w:val="EditorsNote"/>
        <w:ind w:left="1704" w:hanging="1420"/>
        <w:rPr>
          <w:ins w:id="43" w:author="Nokia-TC" w:date="2024-04-18T08:35:00Z"/>
        </w:rPr>
      </w:pPr>
      <w:ins w:id="44" w:author="Nokia-TC" w:date="2024-04-18T08:35:00Z">
        <w:r w:rsidRPr="00FB6A54">
          <w:t xml:space="preserve">Editor’s Note: </w:t>
        </w:r>
      </w:ins>
      <w:ins w:id="45" w:author="Nokia-TC" w:date="2024-04-18T08:36:00Z">
        <w:r>
          <w:tab/>
        </w:r>
      </w:ins>
      <w:ins w:id="46" w:author="Nokia-TC" w:date="2024-04-18T08:35:00Z">
        <w:r w:rsidRPr="00FB6A54">
          <w:t>How source RAN recognize the target 5G(4G) cell based on measurement report containing E-UTRA(NR) measurement IE is FFS.</w:t>
        </w:r>
      </w:ins>
    </w:p>
    <w:p w14:paraId="00C13FFD" w14:textId="77777777" w:rsidR="00FB6A54" w:rsidRDefault="00FB6A54" w:rsidP="0024710B">
      <w:pPr>
        <w:pStyle w:val="EditorsNote"/>
        <w:ind w:left="0" w:firstLine="0"/>
        <w:rPr>
          <w:rFonts w:eastAsia="DengXian"/>
          <w:color w:val="auto"/>
        </w:rPr>
      </w:pPr>
    </w:p>
    <w:p w14:paraId="361061F9" w14:textId="65B7753E" w:rsidR="00BD4774" w:rsidRDefault="002154DE" w:rsidP="0024710B">
      <w:pPr>
        <w:pStyle w:val="EditorsNote"/>
        <w:ind w:left="0" w:firstLine="0"/>
      </w:pPr>
      <w:r>
        <w:object w:dxaOrig="11025" w:dyaOrig="7500" w14:anchorId="3FF09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3" o:title=""/>
          </v:shape>
          <o:OLEObject Type="Embed" ProgID="Visio.Drawing.15" ShapeID="_x0000_i1025" DrawAspect="Content" ObjectID="_1774936132" r:id="rId14"/>
        </w:object>
      </w:r>
    </w:p>
    <w:p w14:paraId="568FA23B" w14:textId="26ABDBA0" w:rsidR="00BD4774" w:rsidRDefault="00BD4774" w:rsidP="00BD4774">
      <w:pPr>
        <w:pStyle w:val="TH"/>
        <w:rPr>
          <w:lang w:val="en-US"/>
        </w:rPr>
      </w:pPr>
      <w:r>
        <w:rPr>
          <w:lang w:val="en-US"/>
        </w:rPr>
        <w:t>Figure 6.X.2-1: UE mobility from CAG cell of 5G Femto to 4G CSG cell</w:t>
      </w:r>
    </w:p>
    <w:p w14:paraId="2A04B5AB" w14:textId="2DA69670" w:rsidR="00BD4774" w:rsidRDefault="000A6DB5" w:rsidP="00BD4774">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rsidR="00916BC3">
        <w:t>leftmost five bits set to zeros, for supporting mobility from/to a CSG cell</w:t>
      </w:r>
    </w:p>
    <w:p w14:paraId="273638BF" w14:textId="5168D8E4" w:rsidR="000A6DB5" w:rsidRDefault="000A6DB5" w:rsidP="00BD4774">
      <w:pPr>
        <w:rPr>
          <w:lang w:val="en-US"/>
        </w:rPr>
      </w:pPr>
      <w:r>
        <w:rPr>
          <w:lang w:val="en-US"/>
        </w:rPr>
        <w:t>Step 0b.</w:t>
      </w:r>
      <w:r w:rsidR="00483B56">
        <w:rPr>
          <w:lang w:val="en-US"/>
        </w:rPr>
        <w:t xml:space="preserve"> </w:t>
      </w:r>
      <w:r w:rsidR="000B525A" w:rsidRPr="000B525A">
        <w:rPr>
          <w:lang w:val="en-US"/>
        </w:rPr>
        <w:t xml:space="preserve">It is assumed that </w:t>
      </w:r>
      <w:bookmarkStart w:id="47" w:name="_Hlk159850453"/>
      <w:r w:rsidR="000B525A" w:rsidRPr="000B525A">
        <w:rPr>
          <w:lang w:val="en-US"/>
        </w:rPr>
        <w:t xml:space="preserve">UE </w:t>
      </w:r>
      <w:r w:rsidR="000B525A">
        <w:rPr>
          <w:lang w:val="en-US"/>
        </w:rPr>
        <w:t>is</w:t>
      </w:r>
      <w:r w:rsidR="000B525A" w:rsidRPr="000B525A">
        <w:rPr>
          <w:lang w:val="en-US"/>
        </w:rPr>
        <w:t xml:space="preserve"> </w:t>
      </w:r>
      <w:r w:rsidR="00155D3A">
        <w:rPr>
          <w:lang w:val="en-US"/>
        </w:rPr>
        <w:t>configured</w:t>
      </w:r>
      <w:r w:rsidR="000B525A" w:rsidRPr="000B525A">
        <w:rPr>
          <w:lang w:val="en-US"/>
        </w:rPr>
        <w:t xml:space="preserve"> with the allowed CAG and CSG list for access to CAG and CSG cells</w:t>
      </w:r>
      <w:r w:rsidR="000B525A">
        <w:rPr>
          <w:lang w:val="en-US"/>
        </w:rPr>
        <w:t xml:space="preserve"> </w:t>
      </w:r>
      <w:bookmarkEnd w:id="47"/>
      <w:r w:rsidR="008819F2" w:rsidRPr="008819F2">
        <w:rPr>
          <w:lang w:val="en-US"/>
        </w:rPr>
        <w:t>when the registered PLMN sends allowed CAG list during the registration procedure or UE configuration update procedure</w:t>
      </w:r>
      <w:r w:rsidR="000B525A" w:rsidRPr="000B525A">
        <w:rPr>
          <w:lang w:val="en-US"/>
        </w:rPr>
        <w:t>.</w:t>
      </w:r>
      <w:r w:rsidR="000B525A">
        <w:rPr>
          <w:lang w:val="en-US"/>
        </w:rPr>
        <w:t xml:space="preserve"> </w:t>
      </w:r>
    </w:p>
    <w:p w14:paraId="0601DBA9" w14:textId="40364218" w:rsidR="000A6DB5" w:rsidRDefault="000A6DB5" w:rsidP="00BD4774">
      <w:pPr>
        <w:rPr>
          <w:lang w:val="en-US"/>
        </w:rPr>
      </w:pPr>
      <w:r>
        <w:rPr>
          <w:lang w:val="en-US"/>
        </w:rPr>
        <w:t xml:space="preserve">Step 1. Target 4G </w:t>
      </w:r>
      <w:r w:rsidR="00916BC3">
        <w:rPr>
          <w:lang w:val="en-US"/>
        </w:rPr>
        <w:t xml:space="preserve">CSG </w:t>
      </w:r>
      <w:r>
        <w:rPr>
          <w:lang w:val="en-US"/>
        </w:rPr>
        <w:t xml:space="preserve">cell broadcasts </w:t>
      </w:r>
      <w:r w:rsidR="00652D58">
        <w:rPr>
          <w:lang w:val="en-US"/>
        </w:rPr>
        <w:t xml:space="preserve">a </w:t>
      </w:r>
      <w:r>
        <w:rPr>
          <w:lang w:val="en-US"/>
        </w:rPr>
        <w:t>CSG ID</w:t>
      </w:r>
      <w:r w:rsidR="00652D58">
        <w:rPr>
          <w:lang w:val="en-US"/>
        </w:rPr>
        <w:t>(s)</w:t>
      </w:r>
      <w:r>
        <w:rPr>
          <w:lang w:val="en-US"/>
        </w:rPr>
        <w:t xml:space="preserve"> over SIB1.</w:t>
      </w:r>
    </w:p>
    <w:p w14:paraId="6AE8E10C" w14:textId="2F1E14BA" w:rsidR="000A6DB5" w:rsidRDefault="000A6DB5" w:rsidP="00483B56">
      <w:pPr>
        <w:ind w:left="567" w:hanging="567"/>
        <w:rPr>
          <w:lang w:val="en-US"/>
        </w:rPr>
      </w:pPr>
      <w:r>
        <w:rPr>
          <w:lang w:val="en-US"/>
        </w:rPr>
        <w:t>Step 2</w:t>
      </w:r>
      <w:r w:rsidR="00483B56">
        <w:rPr>
          <w:lang w:val="en-US"/>
        </w:rPr>
        <w:t>.</w:t>
      </w:r>
      <w:r w:rsidR="00483B56" w:rsidRPr="00483B56">
        <w:t xml:space="preserve"> </w:t>
      </w:r>
      <w:r w:rsidR="00916BC3">
        <w:t xml:space="preserve">The </w:t>
      </w:r>
      <w:r w:rsidR="00483B56" w:rsidRPr="00483B56">
        <w:rPr>
          <w:lang w:val="en-US"/>
        </w:rPr>
        <w:t xml:space="preserve">UE reads the CSG ID of </w:t>
      </w:r>
      <w:r w:rsidR="00916BC3">
        <w:rPr>
          <w:lang w:val="en-US"/>
        </w:rPr>
        <w:t xml:space="preserve">the </w:t>
      </w:r>
      <w:r w:rsidR="00483B56" w:rsidRPr="00483B56">
        <w:rPr>
          <w:lang w:val="en-US"/>
        </w:rPr>
        <w:t xml:space="preserve">target </w:t>
      </w:r>
      <w:r w:rsidR="00483B56">
        <w:rPr>
          <w:lang w:val="en-US"/>
        </w:rPr>
        <w:t>CSG</w:t>
      </w:r>
      <w:r w:rsidR="00483B56" w:rsidRPr="00483B56">
        <w:rPr>
          <w:lang w:val="en-US"/>
        </w:rPr>
        <w:t xml:space="preserve"> cell and constructs a </w:t>
      </w:r>
      <w:r w:rsidR="00DF61A9">
        <w:rPr>
          <w:lang w:val="en-US"/>
        </w:rPr>
        <w:t>mapped</w:t>
      </w:r>
      <w:r w:rsidR="00483B56" w:rsidRPr="00483B56">
        <w:rPr>
          <w:lang w:val="en-US"/>
        </w:rPr>
        <w:t xml:space="preserve"> CAG ID</w:t>
      </w:r>
      <w:r w:rsidR="00483B56">
        <w:rPr>
          <w:lang w:val="en-US"/>
        </w:rPr>
        <w:t>.</w:t>
      </w:r>
      <w:r w:rsidR="00916BC3">
        <w:rPr>
          <w:lang w:val="en-US"/>
        </w:rPr>
        <w:t xml:space="preserve"> The</w:t>
      </w:r>
      <w:r w:rsidR="00916BC3" w:rsidRPr="00916BC3">
        <w:rPr>
          <w:lang w:val="en-US"/>
        </w:rPr>
        <w:t xml:space="preserve"> UE can construct a mapped CAG ID for a CSG cell where the mapped CAG ID</w:t>
      </w:r>
      <w:r w:rsidR="002154DE">
        <w:rPr>
          <w:lang w:val="en-US"/>
        </w:rPr>
        <w:t xml:space="preserve"> is an encoding of partitioned CAG IDs to CSG IDs and</w:t>
      </w:r>
      <w:r w:rsidR="00916BC3" w:rsidRPr="00916BC3">
        <w:rPr>
          <w:lang w:val="en-US"/>
        </w:rPr>
        <w:t xml:space="preserve"> can be obtained with 32</w:t>
      </w:r>
      <w:r w:rsidR="00916BC3">
        <w:rPr>
          <w:lang w:val="en-US"/>
        </w:rPr>
        <w:t>-</w:t>
      </w:r>
      <w:r w:rsidR="00916BC3" w:rsidRPr="00916BC3">
        <w:rPr>
          <w:lang w:val="en-US"/>
        </w:rPr>
        <w:t>bit bitstring by setting five zeros as leftmost bits followed by the 27 bits of the CSG ID of a CSG cell.</w:t>
      </w:r>
    </w:p>
    <w:p w14:paraId="4DCD8236" w14:textId="38842162" w:rsidR="00483B56" w:rsidRDefault="00483B56" w:rsidP="00483B56">
      <w:pPr>
        <w:ind w:left="567" w:hanging="567"/>
        <w:rPr>
          <w:lang w:val="en-US"/>
        </w:rPr>
      </w:pPr>
      <w:r>
        <w:rPr>
          <w:lang w:val="en-US"/>
        </w:rPr>
        <w:t xml:space="preserve">Step 3. </w:t>
      </w:r>
      <w:r w:rsidR="00916BC3">
        <w:rPr>
          <w:lang w:val="en-US"/>
        </w:rPr>
        <w:t xml:space="preserve">The </w:t>
      </w:r>
      <w:r w:rsidRPr="00483B56">
        <w:rPr>
          <w:lang w:val="en-US"/>
        </w:rPr>
        <w:t xml:space="preserve">UE sends to </w:t>
      </w:r>
      <w:r w:rsidR="00916BC3">
        <w:rPr>
          <w:lang w:val="en-US"/>
        </w:rPr>
        <w:t xml:space="preserve">the </w:t>
      </w:r>
      <w:r w:rsidRPr="00483B56">
        <w:rPr>
          <w:lang w:val="en-US"/>
        </w:rPr>
        <w:t xml:space="preserve">source </w:t>
      </w:r>
      <w:r>
        <w:rPr>
          <w:lang w:val="en-US"/>
        </w:rPr>
        <w:t>5GS</w:t>
      </w:r>
      <w:r w:rsidRPr="00483B56">
        <w:rPr>
          <w:lang w:val="en-US"/>
        </w:rPr>
        <w:t xml:space="preserve"> a 5G measurement report message including the </w:t>
      </w:r>
      <w:r w:rsidR="00DF61A9">
        <w:rPr>
          <w:lang w:val="en-US"/>
        </w:rPr>
        <w:t>mapped</w:t>
      </w:r>
      <w:r w:rsidRPr="00483B56">
        <w:rPr>
          <w:lang w:val="en-US"/>
        </w:rPr>
        <w:t xml:space="preserve"> CAG ID constructed at </w:t>
      </w:r>
      <w:r>
        <w:rPr>
          <w:lang w:val="en-US"/>
        </w:rPr>
        <w:t>S</w:t>
      </w:r>
      <w:r w:rsidRPr="00483B56">
        <w:rPr>
          <w:lang w:val="en-US"/>
        </w:rPr>
        <w:t xml:space="preserve">tep 2. </w:t>
      </w:r>
      <w:r w:rsidR="000B525A">
        <w:rPr>
          <w:lang w:val="en-US"/>
        </w:rPr>
        <w:t xml:space="preserve">In this step, there is no change on the existing measurement reporting procedure as the reported </w:t>
      </w:r>
      <w:r w:rsidR="00DF61A9">
        <w:rPr>
          <w:lang w:val="en-US"/>
        </w:rPr>
        <w:t>mapped</w:t>
      </w:r>
      <w:r w:rsidR="000B525A">
        <w:rPr>
          <w:lang w:val="en-US"/>
        </w:rPr>
        <w:t xml:space="preserve"> CAG ID is aligned with the existing CAG ID concept.</w:t>
      </w:r>
    </w:p>
    <w:p w14:paraId="079F48D0" w14:textId="12FC8202" w:rsidR="00483B56" w:rsidRDefault="00483B56" w:rsidP="00483B56">
      <w:pPr>
        <w:ind w:left="567" w:hanging="567"/>
        <w:rPr>
          <w:lang w:val="en-US"/>
        </w:rPr>
      </w:pPr>
      <w:r>
        <w:rPr>
          <w:lang w:val="en-US"/>
        </w:rPr>
        <w:t xml:space="preserve">Step 4. </w:t>
      </w:r>
      <w:r w:rsidR="00D81F0F">
        <w:rPr>
          <w:lang w:val="en-US"/>
        </w:rPr>
        <w:t>T</w:t>
      </w:r>
      <w:r w:rsidR="00D81F0F" w:rsidRPr="00D81F0F">
        <w:rPr>
          <w:lang w:val="en-US"/>
        </w:rPr>
        <w:t>he source 5G</w:t>
      </w:r>
      <w:r w:rsidR="00D81F0F">
        <w:rPr>
          <w:lang w:val="en-US"/>
        </w:rPr>
        <w:t xml:space="preserve">S </w:t>
      </w:r>
      <w:r w:rsidR="00D81F0F" w:rsidRPr="00D81F0F">
        <w:rPr>
          <w:lang w:val="en-US"/>
        </w:rPr>
        <w:t xml:space="preserve">uses the </w:t>
      </w:r>
      <w:r w:rsidR="00DF61A9">
        <w:rPr>
          <w:lang w:val="en-US"/>
        </w:rPr>
        <w:t>mapped</w:t>
      </w:r>
      <w:r w:rsidR="00D81F0F" w:rsidRPr="00D81F0F">
        <w:rPr>
          <w:lang w:val="en-US"/>
        </w:rPr>
        <w:t xml:space="preserve"> CAG ID </w:t>
      </w:r>
      <w:r w:rsidR="00AA7851">
        <w:rPr>
          <w:lang w:val="en-US"/>
        </w:rPr>
        <w:t xml:space="preserve"> to</w:t>
      </w:r>
      <w:r w:rsidR="00AA7851" w:rsidRPr="00D81F0F">
        <w:rPr>
          <w:lang w:val="en-US"/>
        </w:rPr>
        <w:t xml:space="preserve"> </w:t>
      </w:r>
      <w:r w:rsidR="00AA7851">
        <w:rPr>
          <w:lang w:val="en-US"/>
        </w:rPr>
        <w:t>perform</w:t>
      </w:r>
      <w:r w:rsidR="00AA7851" w:rsidRPr="00D81F0F">
        <w:rPr>
          <w:lang w:val="en-US"/>
        </w:rPr>
        <w:t xml:space="preserve"> </w:t>
      </w:r>
      <w:r w:rsidR="00D81F0F">
        <w:rPr>
          <w:lang w:val="en-US"/>
        </w:rPr>
        <w:t xml:space="preserve">the </w:t>
      </w:r>
      <w:r w:rsidR="00D81F0F" w:rsidRPr="00D81F0F">
        <w:rPr>
          <w:lang w:val="en-US"/>
        </w:rPr>
        <w:t>access control in</w:t>
      </w:r>
      <w:r w:rsidR="00D81F0F">
        <w:rPr>
          <w:lang w:val="en-US"/>
        </w:rPr>
        <w:t xml:space="preserve"> the</w:t>
      </w:r>
      <w:r w:rsidR="00D81F0F" w:rsidRPr="00D81F0F">
        <w:rPr>
          <w:lang w:val="en-US"/>
        </w:rPr>
        <w:t xml:space="preserve"> same way as dealing with </w:t>
      </w:r>
      <w:r w:rsidR="00D81F0F">
        <w:rPr>
          <w:lang w:val="en-US"/>
        </w:rPr>
        <w:t>the existing</w:t>
      </w:r>
      <w:r w:rsidR="00D81F0F" w:rsidRPr="00D81F0F">
        <w:rPr>
          <w:lang w:val="en-US"/>
        </w:rPr>
        <w:t xml:space="preserve"> intra-system CAG ID access control (e.g. for NPN).</w:t>
      </w:r>
    </w:p>
    <w:p w14:paraId="1C2FEF71" w14:textId="77D9AAA1" w:rsidR="00BD4774" w:rsidRDefault="00652D58" w:rsidP="00FE1096">
      <w:r>
        <w:rPr>
          <w:lang w:val="en-US"/>
        </w:rPr>
        <w:t>In</w:t>
      </w:r>
      <w:r w:rsidR="000866AC">
        <w:rPr>
          <w:lang w:val="en-US"/>
        </w:rPr>
        <w:t xml:space="preserve"> the proposed solution, the source 5GS performs the access control without any changes to the existing mechanism. When the source 5GS concludes that the UE is allowed to access to the target cell, the existing procedure in Figure 4.11.1.2.1-1 of TS 23.502 [x] continues from step 3.</w:t>
      </w:r>
      <w:r w:rsidR="00F148AF">
        <w:rPr>
          <w:lang w:val="en-US"/>
        </w:rPr>
        <w:t xml:space="preserve"> </w:t>
      </w:r>
      <w:r w:rsidR="00F148AF" w:rsidRPr="00F148AF">
        <w:rPr>
          <w:lang w:val="en-US"/>
        </w:rPr>
        <w:t xml:space="preserve">When the source 5GS concludes that the UE is </w:t>
      </w:r>
      <w:r w:rsidR="00F148AF">
        <w:rPr>
          <w:lang w:val="en-US"/>
        </w:rPr>
        <w:t xml:space="preserve">not </w:t>
      </w:r>
      <w:r w:rsidR="00F148AF" w:rsidRPr="00F148AF">
        <w:rPr>
          <w:lang w:val="en-US"/>
        </w:rPr>
        <w:t xml:space="preserve">allowed to </w:t>
      </w:r>
      <w:r w:rsidR="00F148AF" w:rsidRPr="00F148AF">
        <w:rPr>
          <w:lang w:val="en-US"/>
        </w:rPr>
        <w:lastRenderedPageBreak/>
        <w:t xml:space="preserve">access to the target cell, </w:t>
      </w:r>
      <w:r>
        <w:rPr>
          <w:lang w:val="en-US"/>
        </w:rPr>
        <w:t>the handover procedure stops and no further signalling to/access control is needed.</w:t>
      </w:r>
      <w:r w:rsidR="00F148AF">
        <w:rPr>
          <w:lang w:val="en-US"/>
        </w:rPr>
        <w:t>.</w:t>
      </w:r>
      <w:r w:rsidR="00915520">
        <w:object w:dxaOrig="11025" w:dyaOrig="7815" w14:anchorId="4864B94C">
          <v:shape id="_x0000_i1026" type="#_x0000_t75" style="width:480.75pt;height:340.5pt" o:ole="">
            <v:imagedata r:id="rId15" o:title=""/>
          </v:shape>
          <o:OLEObject Type="Embed" ProgID="Visio.Drawing.15" ShapeID="_x0000_i1026" DrawAspect="Content" ObjectID="_1774936133" r:id="rId16"/>
        </w:object>
      </w:r>
    </w:p>
    <w:p w14:paraId="66E84C0C" w14:textId="77777777" w:rsidR="00BD4774" w:rsidRDefault="00BD4774" w:rsidP="00BD4774">
      <w:pPr>
        <w:pStyle w:val="TH"/>
      </w:pPr>
      <w:r>
        <w:t>Figure 6.x.2-2: UE mobility from 4G CSG cell to CAG cell of 5G Femto</w:t>
      </w:r>
    </w:p>
    <w:p w14:paraId="43A97839" w14:textId="3F940BCF" w:rsidR="00D81F0F" w:rsidRDefault="00D81F0F" w:rsidP="00D81F0F">
      <w:pPr>
        <w:rPr>
          <w:lang w:val="en-US"/>
        </w:rPr>
      </w:pPr>
      <w:r>
        <w:rPr>
          <w:lang w:val="en-US"/>
        </w:rPr>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CAG IDs with </w:t>
      </w:r>
      <w:r w:rsidR="00652D58">
        <w:t>leftmost five bits set to zeros, for supporting mobility from/to a CSG cell</w:t>
      </w:r>
      <w:r>
        <w:rPr>
          <w:lang w:val="en-US"/>
        </w:rPr>
        <w:t>.</w:t>
      </w:r>
    </w:p>
    <w:p w14:paraId="5775EED5" w14:textId="05261972" w:rsidR="00D81F0F" w:rsidRDefault="00D81F0F" w:rsidP="00D81F0F">
      <w:pPr>
        <w:rPr>
          <w:lang w:val="en-US"/>
        </w:rPr>
      </w:pPr>
      <w:r>
        <w:rPr>
          <w:lang w:val="en-US"/>
        </w:rPr>
        <w:t xml:space="preserve">Step 0b. </w:t>
      </w:r>
      <w:r w:rsidR="00155D3A">
        <w:rPr>
          <w:lang w:val="en-US"/>
        </w:rPr>
        <w:t xml:space="preserve">It is assumed that </w:t>
      </w:r>
      <w:r w:rsidR="00155D3A" w:rsidRPr="00155D3A">
        <w:rPr>
          <w:lang w:val="en-US"/>
        </w:rPr>
        <w:t xml:space="preserve">UE is </w:t>
      </w:r>
      <w:r w:rsidR="00155D3A">
        <w:rPr>
          <w:lang w:val="en-US"/>
        </w:rPr>
        <w:t>configured</w:t>
      </w:r>
      <w:r w:rsidR="00155D3A" w:rsidRPr="00155D3A">
        <w:rPr>
          <w:lang w:val="en-US"/>
        </w:rPr>
        <w:t xml:space="preserve"> with the allowed CAG and CSG list for access to CAG and CSG </w:t>
      </w:r>
      <w:r w:rsidR="008819F2" w:rsidRPr="008819F2">
        <w:rPr>
          <w:lang w:val="en-US"/>
        </w:rPr>
        <w:t>when the registered PLMN sends allowed CAG list during the registration procedure or UE configuration update procedure</w:t>
      </w:r>
      <w:r w:rsidR="00155D3A">
        <w:rPr>
          <w:lang w:val="en-US"/>
        </w:rPr>
        <w:t xml:space="preserve">. </w:t>
      </w:r>
    </w:p>
    <w:p w14:paraId="710980CD" w14:textId="1383C610" w:rsidR="00D81F0F" w:rsidRDefault="00D81F0F" w:rsidP="00D81F0F">
      <w:pPr>
        <w:rPr>
          <w:lang w:val="en-US"/>
        </w:rPr>
      </w:pPr>
      <w:r>
        <w:rPr>
          <w:lang w:val="en-US"/>
        </w:rPr>
        <w:t xml:space="preserve">Step 1. Target CAG cell of 5G Femto broadcasts </w:t>
      </w:r>
      <w:r w:rsidR="00652D58">
        <w:rPr>
          <w:lang w:val="en-US"/>
        </w:rPr>
        <w:t xml:space="preserve">a </w:t>
      </w:r>
      <w:r>
        <w:rPr>
          <w:lang w:val="en-US"/>
        </w:rPr>
        <w:t>CAG ID</w:t>
      </w:r>
      <w:r w:rsidR="00652D58">
        <w:rPr>
          <w:lang w:val="en-US"/>
        </w:rPr>
        <w:t>(s)</w:t>
      </w:r>
      <w:r>
        <w:rPr>
          <w:lang w:val="en-US"/>
        </w:rPr>
        <w:t xml:space="preserve"> over SIB1.</w:t>
      </w:r>
    </w:p>
    <w:p w14:paraId="5B266721" w14:textId="2C392391" w:rsidR="00E4561E" w:rsidRDefault="00D81F0F" w:rsidP="00FB6A54">
      <w:pPr>
        <w:rPr>
          <w:lang w:val="en-US"/>
        </w:rPr>
      </w:pPr>
      <w:r>
        <w:rPr>
          <w:lang w:val="en-US"/>
        </w:rPr>
        <w:t>Step 2.</w:t>
      </w:r>
      <w:r w:rsidRPr="00483B56">
        <w:t xml:space="preserve"> </w:t>
      </w:r>
      <w:r w:rsidR="00652D58">
        <w:t xml:space="preserve">The </w:t>
      </w:r>
      <w:r w:rsidRPr="00483B56">
        <w:rPr>
          <w:lang w:val="en-US"/>
        </w:rPr>
        <w:t>UE reads the C</w:t>
      </w:r>
      <w:r>
        <w:rPr>
          <w:lang w:val="en-US"/>
        </w:rPr>
        <w:t>A</w:t>
      </w:r>
      <w:r w:rsidRPr="00483B56">
        <w:rPr>
          <w:lang w:val="en-US"/>
        </w:rPr>
        <w:t xml:space="preserve">G ID of </w:t>
      </w:r>
      <w:r w:rsidR="00652D58">
        <w:rPr>
          <w:lang w:val="en-US"/>
        </w:rPr>
        <w:t xml:space="preserve">the </w:t>
      </w:r>
      <w:r w:rsidRPr="00483B56">
        <w:rPr>
          <w:lang w:val="en-US"/>
        </w:rPr>
        <w:t xml:space="preserve">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sidR="00DF61A9">
        <w:rPr>
          <w:lang w:val="en-US"/>
        </w:rPr>
        <w:t>mapped</w:t>
      </w:r>
      <w:r w:rsidRPr="00483B56">
        <w:rPr>
          <w:lang w:val="en-US"/>
        </w:rPr>
        <w:t xml:space="preserve"> C</w:t>
      </w:r>
      <w:r>
        <w:rPr>
          <w:lang w:val="en-US"/>
        </w:rPr>
        <w:t>S</w:t>
      </w:r>
      <w:r w:rsidRPr="00483B56">
        <w:rPr>
          <w:lang w:val="en-US"/>
        </w:rPr>
        <w:t>G ID</w:t>
      </w:r>
      <w:r>
        <w:rPr>
          <w:lang w:val="en-US"/>
        </w:rPr>
        <w:t>.</w:t>
      </w:r>
      <w:r w:rsidR="00652D58">
        <w:rPr>
          <w:lang w:val="en-US"/>
        </w:rPr>
        <w:t xml:space="preserve"> The</w:t>
      </w:r>
      <w:r w:rsidR="00652D58" w:rsidRPr="00916BC3">
        <w:rPr>
          <w:lang w:val="en-US"/>
        </w:rPr>
        <w:t xml:space="preserve"> UE can construct a mapped C</w:t>
      </w:r>
      <w:r w:rsidR="002154DE">
        <w:rPr>
          <w:lang w:val="en-US"/>
        </w:rPr>
        <w:t>S</w:t>
      </w:r>
      <w:r w:rsidR="00652D58" w:rsidRPr="00916BC3">
        <w:rPr>
          <w:lang w:val="en-US"/>
        </w:rPr>
        <w:t>G ID for a C</w:t>
      </w:r>
      <w:r w:rsidR="002154DE">
        <w:rPr>
          <w:lang w:val="en-US"/>
        </w:rPr>
        <w:t>A</w:t>
      </w:r>
      <w:r w:rsidR="00652D58" w:rsidRPr="00916BC3">
        <w:rPr>
          <w:lang w:val="en-US"/>
        </w:rPr>
        <w:t>G cell where the mapped C</w:t>
      </w:r>
      <w:r w:rsidR="002154DE">
        <w:rPr>
          <w:lang w:val="en-US"/>
        </w:rPr>
        <w:t>S</w:t>
      </w:r>
      <w:r w:rsidR="00652D58" w:rsidRPr="00916BC3">
        <w:rPr>
          <w:lang w:val="en-US"/>
        </w:rPr>
        <w:t>G ID</w:t>
      </w:r>
      <w:r w:rsidR="002154DE">
        <w:rPr>
          <w:lang w:val="en-US"/>
        </w:rPr>
        <w:t xml:space="preserve"> is an encoding of the partitioned CAG IDs to CSG IDs and</w:t>
      </w:r>
      <w:r w:rsidR="00652D58" w:rsidRPr="00916BC3">
        <w:rPr>
          <w:lang w:val="en-US"/>
        </w:rPr>
        <w:t xml:space="preserve"> can be obtained with </w:t>
      </w:r>
      <w:r w:rsidR="002154DE" w:rsidRPr="002154DE">
        <w:rPr>
          <w:lang w:val="en-US"/>
        </w:rPr>
        <w:t>27 bits bitstring out of the received CAG ID with 32 bits bitstring by removing five zeros at leftmost bits of the read CAG ID</w:t>
      </w:r>
      <w:r w:rsidR="00652D58" w:rsidRPr="00916BC3">
        <w:rPr>
          <w:lang w:val="en-US"/>
        </w:rPr>
        <w:t>.</w:t>
      </w:r>
    </w:p>
    <w:p w14:paraId="6D1E9E9B" w14:textId="357744A8" w:rsidR="00D81F0F" w:rsidRDefault="00D81F0F" w:rsidP="00D81F0F">
      <w:pPr>
        <w:ind w:left="567" w:hanging="567"/>
        <w:rPr>
          <w:lang w:val="en-US"/>
        </w:rPr>
      </w:pPr>
      <w:r>
        <w:rPr>
          <w:lang w:val="en-US"/>
        </w:rPr>
        <w:t xml:space="preserve">Step 3. </w:t>
      </w:r>
      <w:r w:rsidR="00652D58">
        <w:rPr>
          <w:lang w:val="en-US"/>
        </w:rPr>
        <w:t xml:space="preserve">The </w:t>
      </w:r>
      <w:r w:rsidRPr="00483B56">
        <w:rPr>
          <w:lang w:val="en-US"/>
        </w:rPr>
        <w:t xml:space="preserve">UE sends to </w:t>
      </w:r>
      <w:r w:rsidR="00652D58">
        <w:rPr>
          <w:lang w:val="en-US"/>
        </w:rPr>
        <w:t xml:space="preserve">the </w:t>
      </w:r>
      <w:r w:rsidRPr="00483B56">
        <w:rPr>
          <w:lang w:val="en-US"/>
        </w:rPr>
        <w:t xml:space="preserve">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sidR="00DF61A9">
        <w:rPr>
          <w:lang w:val="en-US"/>
        </w:rPr>
        <w:t>mapped</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 xml:space="preserve">tep 2. </w:t>
      </w:r>
      <w:r w:rsidR="00155D3A">
        <w:rPr>
          <w:lang w:val="en-US"/>
        </w:rPr>
        <w:t xml:space="preserve">In this step, there is no change on the existing measurement reporting procedure as the reported </w:t>
      </w:r>
      <w:r w:rsidR="00DF61A9">
        <w:rPr>
          <w:lang w:val="en-US"/>
        </w:rPr>
        <w:t>mapped</w:t>
      </w:r>
      <w:r w:rsidR="00155D3A">
        <w:rPr>
          <w:lang w:val="en-US"/>
        </w:rPr>
        <w:t xml:space="preserve"> CSG ID is aligned with the existing CSG ID concept.</w:t>
      </w:r>
    </w:p>
    <w:p w14:paraId="7CA4CC3D" w14:textId="5B0BB4B2" w:rsidR="00D81F0F" w:rsidRDefault="00D81F0F" w:rsidP="00D81F0F">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w:t>
      </w:r>
      <w:r w:rsidR="00DF61A9">
        <w:rPr>
          <w:lang w:val="en-US"/>
        </w:rPr>
        <w:t>mapped</w:t>
      </w:r>
      <w:r w:rsidRPr="00D81F0F">
        <w:rPr>
          <w:lang w:val="en-US"/>
        </w:rPr>
        <w:t xml:space="preserve"> C</w:t>
      </w:r>
      <w:r w:rsidR="00AA7851">
        <w:rPr>
          <w:lang w:val="en-US"/>
        </w:rPr>
        <w:t>S</w:t>
      </w:r>
      <w:r w:rsidRPr="00D81F0F">
        <w:rPr>
          <w:lang w:val="en-US"/>
        </w:rPr>
        <w:t xml:space="preserve">G ID </w:t>
      </w:r>
      <w:r w:rsidR="00AA7851">
        <w:rPr>
          <w:lang w:val="en-US"/>
        </w:rPr>
        <w:t>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14:paraId="7A1D0B15" w14:textId="2FD87432" w:rsidR="000E0B40" w:rsidRDefault="00652D58" w:rsidP="00BD4774">
      <w:r w:rsidRPr="2024978E">
        <w:t xml:space="preserve">In </w:t>
      </w:r>
      <w:r w:rsidR="000866AC" w:rsidRPr="2024978E">
        <w:t>the proposed solution, the source 4GS performs the access control without any changes to the existing mechanism. When the source 4GS concludes that the UE is allowed to access to the target cell, the existing procedure in Figure 4.11.1.2.2.2-1 of TS 23.502 [x] continues from step 3</w:t>
      </w:r>
      <w:r w:rsidR="00F148AF" w:rsidRPr="2024978E">
        <w:t>. In this case, the access control at target 5GS can also take place based on the existing procedures. When the source 4GS concludes that the UE is not allowed to access to the target cell, the handover procedure stops and no further signalling to/access control at the target 5GS is needed</w:t>
      </w:r>
      <w:r w:rsidR="000866AC" w:rsidRPr="2024978E">
        <w:t>.</w:t>
      </w:r>
      <w:r w:rsidR="000E0B40" w:rsidRPr="2024978E">
        <w:t xml:space="preserve">               </w:t>
      </w:r>
    </w:p>
    <w:p w14:paraId="190CD7AE" w14:textId="31158E8C" w:rsidR="0085262D" w:rsidRPr="00822E86" w:rsidRDefault="0085262D" w:rsidP="0085262D">
      <w:pPr>
        <w:pStyle w:val="Heading3"/>
        <w:rPr>
          <w:rFonts w:eastAsia="DengXian"/>
          <w:lang w:eastAsia="zh-CN"/>
        </w:rPr>
      </w:pPr>
      <w:bookmarkStart w:id="48" w:name="_Toc326248711"/>
      <w:bookmarkStart w:id="49" w:name="_Toc510604409"/>
      <w:bookmarkStart w:id="50" w:name="_Toc92875664"/>
      <w:bookmarkStart w:id="51" w:name="_Toc93070688"/>
      <w:bookmarkStart w:id="52" w:name="_Toc148498836"/>
      <w:r w:rsidRPr="00042496">
        <w:rPr>
          <w:rFonts w:eastAsia="DengXian"/>
        </w:rPr>
        <w:lastRenderedPageBreak/>
        <w:t>6.X.</w:t>
      </w:r>
      <w:r w:rsidR="00575E11">
        <w:rPr>
          <w:rFonts w:eastAsia="DengXian"/>
        </w:rPr>
        <w:t>3</w:t>
      </w:r>
      <w:r w:rsidRPr="00042496">
        <w:rPr>
          <w:rFonts w:eastAsia="DengXian"/>
        </w:rPr>
        <w:tab/>
      </w:r>
      <w:bookmarkEnd w:id="48"/>
      <w:bookmarkEnd w:id="49"/>
      <w:bookmarkEnd w:id="50"/>
      <w:r w:rsidRPr="00042496">
        <w:rPr>
          <w:rFonts w:eastAsia="DengXian"/>
        </w:rPr>
        <w:t>Impacts on services, entities and interfaces</w:t>
      </w:r>
      <w:bookmarkEnd w:id="51"/>
      <w:bookmarkEnd w:id="52"/>
    </w:p>
    <w:p w14:paraId="1772A757" w14:textId="4E14601B"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002A58B8">
        <w:rPr>
          <w:rStyle w:val="normaltextrun"/>
          <w:color w:val="000000"/>
          <w:shd w:val="clear" w:color="auto" w:fill="FFFFFF"/>
        </w:rPr>
        <w:t xml:space="preserve">UE – </w:t>
      </w:r>
      <w:r w:rsidR="001101CE">
        <w:rPr>
          <w:rStyle w:val="normaltextrun"/>
          <w:color w:val="000000"/>
          <w:shd w:val="clear" w:color="auto" w:fill="FFFFFF"/>
        </w:rPr>
        <w:t xml:space="preserve">receiving CSG-CAG ID partitioning and </w:t>
      </w:r>
      <w:r w:rsidR="002A58B8">
        <w:rPr>
          <w:rStyle w:val="normaltextrun"/>
          <w:color w:val="000000"/>
          <w:shd w:val="clear" w:color="auto" w:fill="FFFFFF"/>
        </w:rPr>
        <w:t xml:space="preserve">constructing </w:t>
      </w:r>
      <w:r w:rsidR="00DF61A9">
        <w:rPr>
          <w:rStyle w:val="normaltextrun"/>
          <w:color w:val="000000"/>
          <w:shd w:val="clear" w:color="auto" w:fill="FFFFFF"/>
        </w:rPr>
        <w:t>mapped</w:t>
      </w:r>
      <w:r w:rsidR="002A58B8">
        <w:rPr>
          <w:rStyle w:val="normaltextrun"/>
          <w:color w:val="000000"/>
          <w:shd w:val="clear" w:color="auto" w:fill="FFFFFF"/>
        </w:rPr>
        <w:t xml:space="preserve"> CSG/CAG ID (depending on the considered mobility direction)</w:t>
      </w:r>
      <w:r w:rsidR="12EBE39B" w:rsidRPr="00006CE6">
        <w:rPr>
          <w:rFonts w:eastAsia="Times New Roman"/>
          <w:color w:val="000000" w:themeColor="text1"/>
          <w:lang w:val="en-US"/>
        </w:rPr>
        <w:t>.</w:t>
      </w:r>
    </w:p>
    <w:p w14:paraId="4082FBB7" w14:textId="046ADBF9" w:rsidR="00E7583C" w:rsidRDefault="317FE01A" w:rsidP="0024710B">
      <w:pPr>
        <w:spacing w:line="259" w:lineRule="auto"/>
        <w:ind w:left="567" w:hanging="283"/>
        <w:rPr>
          <w:rStyle w:val="normaltextrun"/>
          <w:color w:val="000000" w:themeColor="text1"/>
        </w:rPr>
      </w:pPr>
      <w:r w:rsidRPr="00006CE6">
        <w:rPr>
          <w:rStyle w:val="normaltextrun"/>
          <w:color w:val="000000"/>
          <w:shd w:val="clear" w:color="auto" w:fill="FFFFFF"/>
        </w:rPr>
        <w:t>-</w:t>
      </w:r>
      <w:r w:rsidR="00E7583C" w:rsidRPr="00006CE6">
        <w:rPr>
          <w:rStyle w:val="normaltextrun"/>
          <w:color w:val="000000"/>
          <w:shd w:val="clear" w:color="auto" w:fill="FFFFFF"/>
        </w:rPr>
        <w:tab/>
      </w:r>
      <w:r w:rsidR="002A58B8">
        <w:rPr>
          <w:rStyle w:val="normaltextrun"/>
          <w:color w:val="000000" w:themeColor="text1"/>
        </w:rPr>
        <w:t>NG-RAN or AMF</w:t>
      </w:r>
      <w:r w:rsidRPr="00006CE6">
        <w:rPr>
          <w:rStyle w:val="normaltextrun"/>
          <w:color w:val="000000" w:themeColor="text1"/>
        </w:rPr>
        <w:t xml:space="preserve"> – </w:t>
      </w:r>
      <w:r w:rsidR="002A58B8">
        <w:rPr>
          <w:rStyle w:val="normaltextrun"/>
          <w:color w:val="000000" w:themeColor="text1"/>
        </w:rPr>
        <w:t>No impact</w:t>
      </w:r>
      <w:r w:rsidR="004818AF">
        <w:rPr>
          <w:rStyle w:val="normaltextrun"/>
          <w:color w:val="000000" w:themeColor="text1"/>
        </w:rPr>
        <w:t>.</w:t>
      </w:r>
    </w:p>
    <w:p w14:paraId="2E1D52FC" w14:textId="4DF62697" w:rsidR="002A58B8" w:rsidRDefault="002A58B8" w:rsidP="0024710B">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E-UTRAN or MME – No impact.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D3714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DC4B" w14:textId="77777777" w:rsidR="00D37145" w:rsidRDefault="00D37145">
      <w:r>
        <w:separator/>
      </w:r>
    </w:p>
  </w:endnote>
  <w:endnote w:type="continuationSeparator" w:id="0">
    <w:p w14:paraId="19772840" w14:textId="77777777" w:rsidR="00D37145" w:rsidRDefault="00D37145">
      <w:r>
        <w:continuationSeparator/>
      </w:r>
    </w:p>
  </w:endnote>
  <w:endnote w:type="continuationNotice" w:id="1">
    <w:p w14:paraId="14368E80" w14:textId="77777777" w:rsidR="00D37145" w:rsidRDefault="00D3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D1A4" w14:textId="77777777" w:rsidR="00D37145" w:rsidRDefault="00D37145">
      <w:r>
        <w:separator/>
      </w:r>
    </w:p>
  </w:footnote>
  <w:footnote w:type="continuationSeparator" w:id="0">
    <w:p w14:paraId="083A8428" w14:textId="77777777" w:rsidR="00D37145" w:rsidRDefault="00D37145">
      <w:r>
        <w:continuationSeparator/>
      </w:r>
    </w:p>
  </w:footnote>
  <w:footnote w:type="continuationNotice" w:id="1">
    <w:p w14:paraId="5DB1E080" w14:textId="77777777" w:rsidR="00D37145" w:rsidRDefault="00D37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295C999"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237FE1">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290465B1"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237FE1">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4D46"/>
    <w:rsid w:val="00132790"/>
    <w:rsid w:val="00133525"/>
    <w:rsid w:val="00152A28"/>
    <w:rsid w:val="00155D3A"/>
    <w:rsid w:val="00183693"/>
    <w:rsid w:val="001A17F6"/>
    <w:rsid w:val="001A4C42"/>
    <w:rsid w:val="001A7420"/>
    <w:rsid w:val="001B6637"/>
    <w:rsid w:val="001C21C3"/>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08C3"/>
    <w:rsid w:val="00CB16A9"/>
    <w:rsid w:val="00CC5890"/>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4561E"/>
    <w:rsid w:val="00E55C50"/>
    <w:rsid w:val="00E55DFA"/>
    <w:rsid w:val="00E7583C"/>
    <w:rsid w:val="00E76832"/>
    <w:rsid w:val="00E77645"/>
    <w:rsid w:val="00E85C4F"/>
    <w:rsid w:val="00E86EFD"/>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B6A54"/>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RBI5PAMIO524-1616901215-17527</_dlc_DocId>
    <_dlc_DocIdUrl xmlns="71c5aaf6-e6ce-465b-b873-5148d2a4c105">
      <Url>https://nokia.sharepoint.com/sites/gxp/_layouts/15/DocIdRedir.aspx?ID=RBI5PAMIO524-1616901215-17527</Url>
      <Description>RBI5PAMIO524-1616901215-17527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5.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13</cp:revision>
  <cp:lastPrinted>2019-02-25T14:05:00Z</cp:lastPrinted>
  <dcterms:created xsi:type="dcterms:W3CDTF">2024-03-25T13:09:00Z</dcterms:created>
  <dcterms:modified xsi:type="dcterms:W3CDTF">2024-04-18T07:40:00Z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2d6aa494-1b30-45ba-9345-03ad48fc2708</vt:lpwstr>
  </property>
  <property fmtid="{D5CDD505-2E9C-101B-9397-08002B2CF9AE}" pid="4" name="MediaServiceImageTags">
    <vt:lpwstr/>
  </property>
</Properties>
</file>